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TÍTULO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Subtítulo (se houver)</w:t>
      </w:r>
    </w:p>
    <w:p w:rsidR="00000000" w:rsidDel="00000000" w:rsidP="00000000" w:rsidRDefault="00000000" w:rsidRPr="00000000" w14:paraId="00000002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Autor(a) principal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Coautor(a) 1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Coautor(a) 2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Coautor(a) 3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Coautor(a) 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Orientador(a) do Trabalho (se houver)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INTRODUÇÃO 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Visão geral sobre o assunto, indicando a atualidade e relevância do trabalho e problematização do objeto estudado.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METODOLOGIA 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Indicar a natureza da pesquisa (qualitativa, quantitativa, quali-quanti), o tipo de pesquisa (bibliográfica, documental, exploratória, de campo, etc.), técnicas e instrumentos de coleta e análise de dados (entrevista, observação, análise de conteúdo, etc.), local e sujeitos da pesquisa (para o caso de pesquisa de campo).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RESULTADOS E DISCUSSÕES 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Interlocuções teóricas com autores que tratem do tema, principais resultados obtidos com a pesquisa (para o caso de pesquisas já realizadas ou que apresentem resultados parciais por estarem em andamento) ou resultados esperados (para o caso de pesquisas em andamento ou projetos de pesquisa).</w:t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CONSIDERAÇÕES FINAIS </w:t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Parte final do Resumo Expandido, dedicada à apresentação das conclusões correspondentes aos objetivos do trabalho.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No máximo três.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REFERÊNCIAS BIBLIOGRÁFICAS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Devem vir ao final do Resumo Expandido e não serão contabilizadas para efeito de mínimo e máximo de páginas do mesmo. Deverão estar em ordem alfabética, por autor, de acordo com as normas vigentes da ABNT. </w:t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EXEMPLO: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ANFIP.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Análise da seguridade social em 2017.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Brasília, 2018.</w:t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BEHRING, E. Acumulação capitalista, fundo público e política social no Brasil. In: BOSCHETTI, E. R. et al. (Orgs).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Política Social no capitalismo: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tendências contemporâneas. São Paulo: Cortez, 2008.</w:t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BEHRING, 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Brasil em contrarreforma: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desestruturação do Estado e perda de direitos. 2. ed. São Paulo: Cortez, 2008.</w:t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Demonstrativo dos gastos tributários bases efetivas – 2016 série 2014 a 2019.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Receita Federal do Brasil. 2019. Disponível em: http://receita.economia.gov.br/dados/receitadata/renuncia-fiscal/demonstrativos-dos-gastos-tributarios/arquivos-e-imagens/dgt-bases-efetivas-2016-serie-2014-a-2019-base-conceitual-e-gerencial.pdf. Acesso em: 20/07/2019. </w:t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CHESNAIS, F. Doze teses sobre a mundialização do capital. In: FERREIRA, C; SCHERER, A. F.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 Brasil frente à ditadura do capital financeiro: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reflexões e alternativas. Lajeado: UNIVATS, 2005.</w:t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GRANEMANN, S. Fundos de pensão e a metamorfose do “salário em capital”. In: SALVADOR, E. et al. (Orgs).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Financeirização, fundo público e política social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São Paulo: Cortez, 2012.</w:t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HARVEY, 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Condição Pós-moderna: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uma pesquisa sobre as origens da mudança cultural. São Paulo: Edições Loyola, 1992.</w:t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HARVEY, 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 novo imperialismo.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São Paulo: Edições Loyola, 2014.</w:t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MANDEL, 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crise do capital: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os fatos e sua interpretação marxista. São Paulo: Ensaio, 1990.</w:t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MANDEL, 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 capitalismo tardio.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São Paulo: Abril Cultural, 1982. </w:t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MARX, K.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 Capital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Livro I, volume II. 26 ed. Rio de Janeiro: Civilização Brasileira, 2008.</w:t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OLIVEIRA, F.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 direitos do antivalor: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economia política da hegemonia imperfeita. Petrópolis: Vozes, 1998. </w:t>
      </w:r>
    </w:p>
    <w:p w:rsidR="00000000" w:rsidDel="00000000" w:rsidP="00000000" w:rsidRDefault="00000000" w:rsidRPr="00000000" w14:paraId="0000003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SALVADOR, 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Fundo Público e Seguridade Social no Brasil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São Paulo: Cortez, 2010.</w:t>
      </w:r>
    </w:p>
    <w:p w:rsidR="00000000" w:rsidDel="00000000" w:rsidP="00000000" w:rsidRDefault="00000000" w:rsidRPr="00000000" w14:paraId="0000003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SALVADOR, E. O desmonte do financiamento da seguridade social em contexto de ajuste fiscal.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Revista Ser Social e Sociedade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São Paulo, n. 130, p. 426-446, set./dez. 2017.</w:t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SOUZA, G; SOARES, M. G. M. Contrarreformas e recuo civilizatório: um breve balanço do governo Temer.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 Social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Brasília, V. 21, N. 44, p. 11-28, jan.-jun./2019.</w:t>
      </w:r>
    </w:p>
    <w:p w:rsidR="00000000" w:rsidDel="00000000" w:rsidP="00000000" w:rsidRDefault="00000000" w:rsidRPr="00000000" w14:paraId="0000003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TEIXEIRA, S, O. Ataques ao orçamento da Seguridade Social: ofensiva do capital contra o trabalho.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Advir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Rio de Janeiro, N. 36, p. 99-111, jul./2017.</w:t>
      </w:r>
    </w:p>
    <w:p w:rsidR="00000000" w:rsidDel="00000000" w:rsidP="00000000" w:rsidRDefault="00000000" w:rsidRPr="00000000" w14:paraId="00000041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before="307" w:line="344" w:lineRule="auto"/>
        <w:ind w:left="37" w:right="599" w:firstLine="5.999999999999996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60c22"/>
          <w:sz w:val="20"/>
          <w:szCs w:val="20"/>
          <w:highlight w:val="white"/>
          <w:rtl w:val="0"/>
        </w:rPr>
        <w:t xml:space="preserve"> Instituição, titulação e e-mail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</w:t>
      </w:r>
    </w:p>
  </w:footnote>
  <w:footnote w:id="1"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60c22"/>
          <w:sz w:val="20"/>
          <w:szCs w:val="20"/>
          <w:highlight w:val="white"/>
          <w:rtl w:val="0"/>
        </w:rPr>
        <w:t xml:space="preserve">Instituição, titulação e e-mail;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60c22"/>
          <w:sz w:val="20"/>
          <w:szCs w:val="20"/>
          <w:highlight w:val="white"/>
          <w:rtl w:val="0"/>
        </w:rPr>
        <w:t xml:space="preserve">Instituição, titulação e e-mail;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60c22"/>
          <w:sz w:val="20"/>
          <w:szCs w:val="20"/>
          <w:highlight w:val="white"/>
          <w:rtl w:val="0"/>
        </w:rPr>
        <w:t xml:space="preserve">Instituição, titulação e e-mail;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60c22"/>
          <w:sz w:val="20"/>
          <w:szCs w:val="20"/>
          <w:highlight w:val="white"/>
          <w:rtl w:val="0"/>
        </w:rPr>
        <w:t xml:space="preserve">Instituição, titulação e e-mail;</w:t>
      </w: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60c22"/>
          <w:sz w:val="20"/>
          <w:szCs w:val="20"/>
          <w:highlight w:val="white"/>
          <w:rtl w:val="0"/>
        </w:rPr>
        <w:t xml:space="preserve">Instituição, titulação e e-mail.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-447674</wp:posOffset>
          </wp:positionV>
          <wp:extent cx="7562850" cy="971550"/>
          <wp:effectExtent b="0" l="0" r="0" t="0"/>
          <wp:wrapSquare wrapText="bothSides" distB="0" distT="0" distL="114300" distR="114300"/>
          <wp:docPr id="8484517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2850" cy="9715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34D48"/>
    <w:pPr>
      <w:spacing w:after="0" w:line="276" w:lineRule="auto"/>
    </w:pPr>
    <w:rPr>
      <w:rFonts w:ascii="Arial" w:cs="Arial" w:eastAsia="Arial" w:hAnsi="Arial"/>
      <w:kern w:val="0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basedOn w:val="Fontepargpadro"/>
    <w:uiPriority w:val="99"/>
    <w:unhideWhenUsed w:val="1"/>
    <w:rsid w:val="00021F89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semiHidden w:val="1"/>
    <w:unhideWhenUsed w:val="1"/>
    <w:rsid w:val="00021F89"/>
    <w:pPr>
      <w:spacing w:line="240" w:lineRule="auto"/>
    </w:pPr>
    <w:rPr>
      <w:rFonts w:ascii="Times New Roman" w:cs="Times New Roman" w:eastAsia="Times New Roman" w:hAnsi="Times New Roman"/>
      <w:sz w:val="20"/>
      <w:szCs w:val="20"/>
      <w:lang w:val="pt-PT"/>
    </w:rPr>
  </w:style>
  <w:style w:type="character" w:styleId="TextodenotaderodapChar" w:customStyle="1">
    <w:name w:val="Texto de nota de rodapé Char"/>
    <w:basedOn w:val="Fontepargpadro"/>
    <w:link w:val="Textodenotaderodap"/>
    <w:semiHidden w:val="1"/>
    <w:rsid w:val="00021F89"/>
    <w:rPr>
      <w:rFonts w:ascii="Times New Roman" w:cs="Times New Roman" w:eastAsia="Times New Roman" w:hAnsi="Times New Roman"/>
      <w:kern w:val="0"/>
      <w:sz w:val="20"/>
      <w:szCs w:val="20"/>
      <w:lang w:eastAsia="pt-BR" w:val="pt-PT"/>
    </w:rPr>
  </w:style>
  <w:style w:type="character" w:styleId="Refdenotaderodap">
    <w:name w:val="footnote reference"/>
    <w:semiHidden w:val="1"/>
    <w:unhideWhenUsed w:val="1"/>
    <w:rsid w:val="00021F89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 w:val="1"/>
    <w:rsid w:val="00E04717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04717"/>
    <w:rPr>
      <w:rFonts w:ascii="Arial" w:cs="Arial" w:eastAsia="Arial" w:hAnsi="Arial"/>
      <w:kern w:val="0"/>
      <w:lang w:eastAsia="pt-BR"/>
    </w:rPr>
  </w:style>
  <w:style w:type="paragraph" w:styleId="Rodap">
    <w:name w:val="footer"/>
    <w:basedOn w:val="Normal"/>
    <w:link w:val="RodapChar"/>
    <w:uiPriority w:val="99"/>
    <w:unhideWhenUsed w:val="1"/>
    <w:rsid w:val="00E04717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04717"/>
    <w:rPr>
      <w:rFonts w:ascii="Arial" w:cs="Arial" w:eastAsia="Arial" w:hAnsi="Arial"/>
      <w:kern w:val="0"/>
      <w:lang w:eastAsia="pt-BR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926DB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xCUxTGD8Dzd3FYQjt3X3+fwKEQ==">CgMxLjA4AHIhMXplUHdKZDRkNG40UlEzZ1FOdDVyTllHQy1ENThoZDd5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2023-05-27T19:56:00Z</dcterms:created>
  <dc:creator>Tereza</dc:creator>
</cp:coreProperties>
</file>